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E16AA" w14:textId="77777777" w:rsidR="00226032" w:rsidRDefault="00383713">
      <w:pPr>
        <w:pStyle w:val="Caption"/>
        <w:tabs>
          <w:tab w:val="left" w:pos="9900"/>
        </w:tabs>
        <w:spacing w:line="360" w:lineRule="auto"/>
        <w:ind w:left="567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Azərbaycan Respublikası Vergilər Nazirliyinin 13</w:t>
      </w:r>
      <w:bookmarkStart w:id="0" w:name="_GoBack"/>
      <w:bookmarkEnd w:id="0"/>
      <w:r>
        <w:rPr>
          <w:rFonts w:ascii="Times New Roman" w:hAnsi="Times New Roman"/>
          <w:bCs/>
        </w:rPr>
        <w:t xml:space="preserve"> may 2015-ci il </w:t>
      </w:r>
      <w:r>
        <w:rPr>
          <w:rFonts w:ascii="Times New Roman" w:hAnsi="Times New Roman"/>
        </w:rPr>
        <w:t xml:space="preserve">tarixli </w:t>
      </w:r>
      <w:r>
        <w:rPr>
          <w:rFonts w:ascii="Times New Roman" w:eastAsia="Calibri" w:hAnsi="Times New Roman"/>
          <w:color w:val="000000"/>
          <w:lang w:eastAsia="en-US"/>
        </w:rPr>
        <w:t>1517040100655900</w:t>
      </w:r>
      <w:r>
        <w:rPr>
          <w:rFonts w:ascii="Times New Roman" w:hAnsi="Times New Roman"/>
        </w:rPr>
        <w:t xml:space="preserve"> nömrəli</w:t>
      </w:r>
      <w:r>
        <w:rPr>
          <w:rFonts w:ascii="Times New Roman" w:hAnsi="Times New Roman"/>
          <w:bCs/>
        </w:rPr>
        <w:t xml:space="preserve"> əmri ilə təsdiq edilmiş "Yerli (bələdiyyə) vergi və ödənişlərin hesablanması, ödənilməsi və uçotu ilə bağlı Metodiki Vəsait"ə Əlavə 2</w:t>
      </w:r>
    </w:p>
    <w:p w14:paraId="02E81D00" w14:textId="77777777" w:rsidR="00226032" w:rsidRDefault="00226032">
      <w:pPr>
        <w:pStyle w:val="Caption"/>
        <w:spacing w:line="360" w:lineRule="auto"/>
        <w:ind w:left="-567" w:right="-2" w:firstLine="567"/>
        <w:jc w:val="both"/>
        <w:rPr>
          <w:rFonts w:ascii="Times New Roman" w:hAnsi="Times New Roman"/>
        </w:rPr>
      </w:pPr>
    </w:p>
    <w:p w14:paraId="1DAD470C" w14:textId="77777777" w:rsidR="00226032" w:rsidRDefault="00383713">
      <w:pPr>
        <w:pStyle w:val="Caption"/>
        <w:spacing w:line="360" w:lineRule="auto"/>
        <w:ind w:left="-567" w:right="-2"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Yerli (bələdiyyə) </w:t>
      </w:r>
      <w:r>
        <w:rPr>
          <w:rFonts w:ascii="Times New Roman" w:hAnsi="Times New Roman"/>
          <w:b/>
        </w:rPr>
        <w:t>büdcəyə torpaq vergisinin</w:t>
      </w:r>
    </w:p>
    <w:p w14:paraId="1B8B4AC2" w14:textId="77777777" w:rsidR="00226032" w:rsidRDefault="00383713">
      <w:pPr>
        <w:pStyle w:val="Caption"/>
        <w:spacing w:line="360" w:lineRule="auto"/>
        <w:ind w:left="-567" w:right="-2"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hesablanması formasının tərtib edilməsi qaydası</w:t>
      </w:r>
    </w:p>
    <w:p w14:paraId="49BFB78A" w14:textId="77777777" w:rsidR="00226032" w:rsidRDefault="00226032">
      <w:pPr>
        <w:pStyle w:val="Caption"/>
        <w:spacing w:line="360" w:lineRule="auto"/>
        <w:ind w:left="-567" w:right="-2" w:firstLine="567"/>
        <w:jc w:val="both"/>
        <w:rPr>
          <w:rFonts w:ascii="Times New Roman" w:hAnsi="Times New Roman"/>
          <w:b/>
        </w:rPr>
      </w:pPr>
    </w:p>
    <w:p w14:paraId="5AF0F269" w14:textId="77777777" w:rsidR="00226032" w:rsidRDefault="00383713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Forma bələdiyyənin vergi xidməti orqanının vəzifəli şəxsi tərəfindən doldurulur.</w:t>
      </w:r>
    </w:p>
    <w:p w14:paraId="689098B5" w14:textId="77777777" w:rsidR="00226032" w:rsidRDefault="00383713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Formanın əvvəlində vergi ödəyicisi olan fiziki şəxsin soyadı, adı, atasının adı, ünvanı və VÖEN, hab</w:t>
      </w:r>
      <w:r>
        <w:rPr>
          <w:rFonts w:ascii="Times New Roman" w:hAnsi="Times New Roman"/>
        </w:rPr>
        <w:t>elə torpağa sahiblik və ya istifadə hüququnu təsdiq edən  sənədin adı, verildiyi tarix və nömrəsi qeyd olunur.</w:t>
      </w:r>
    </w:p>
    <w:p w14:paraId="0E3F4D8B" w14:textId="77777777" w:rsidR="00226032" w:rsidRDefault="00383713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Əkin, dinc və çoxillik əkmələr  altında qalan torpaqların keyfiyyət qrupları üzrə bonitet balları formanın 1-ci sətrinin 2-ci sütununda, keyfiyyə</w:t>
      </w:r>
      <w:r>
        <w:rPr>
          <w:rFonts w:ascii="Times New Roman" w:hAnsi="Times New Roman"/>
        </w:rPr>
        <w:t>t qrupları üzrə 1 hektarının şərti balları 3-cü sütunda göstərilir.</w:t>
      </w:r>
    </w:p>
    <w:p w14:paraId="2D8E95A7" w14:textId="77777777" w:rsidR="00226032" w:rsidRDefault="00383713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Formanın 1-ci sətrində əkin, dinc və çoxillik əkmələr və 2-ci sətrində biçənək, örüş, otlaq torpaqlarının hektarla sahəsi 4-cü sütunda göstərilir.</w:t>
      </w:r>
    </w:p>
    <w:p w14:paraId="520FFE6F" w14:textId="77777777" w:rsidR="00226032" w:rsidRDefault="00383713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Əkin, dinc və çoxillik əkmələr altında ol</w:t>
      </w:r>
      <w:r>
        <w:rPr>
          <w:rFonts w:ascii="Times New Roman" w:hAnsi="Times New Roman"/>
        </w:rPr>
        <w:t>an torpaqların vergi dərəcəsi Metodiki Vəsaitin 3.4.1-ci bəndinə əsasən müəyyən edilərək formanın 1-ci sətrinin 6-cı sütununda əks etdirilir.</w:t>
      </w:r>
    </w:p>
    <w:p w14:paraId="4AA0CF33" w14:textId="77777777" w:rsidR="00226032" w:rsidRDefault="00383713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Əkin, dinc və çoxillik əkmələr altında olan torpaqlara vergi məbləği (3, 4 və 6-cı sütunların hasili) formanın 1-c</w:t>
      </w:r>
      <w:r>
        <w:rPr>
          <w:rFonts w:ascii="Times New Roman" w:hAnsi="Times New Roman"/>
        </w:rPr>
        <w:t>i sətrinin 7-ci sütununda əks etdirilir.</w:t>
      </w:r>
    </w:p>
    <w:p w14:paraId="1639C06E" w14:textId="77777777" w:rsidR="00226032" w:rsidRDefault="00383713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Biçənək, örüş və otlaq üçün torpaqların 1 hektarının şərti balları Metodiki Vəsaitin 3.4.1-ci bəndində göstərilən qaydada müəyyən edilərək formanın 2-ci sətrinin 3-cü sütununda əks etdirilir.</w:t>
      </w:r>
    </w:p>
    <w:p w14:paraId="4097FAD3" w14:textId="77777777" w:rsidR="00226032" w:rsidRDefault="00383713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2-ci sətrin 4-cü sütun</w:t>
      </w:r>
      <w:r>
        <w:rPr>
          <w:rFonts w:ascii="Times New Roman" w:hAnsi="Times New Roman"/>
        </w:rPr>
        <w:t>unda biçənək, örüş və otlaq üçün torpaqların sahələri  göstərilir.</w:t>
      </w:r>
    </w:p>
    <w:p w14:paraId="217E59B4" w14:textId="77777777" w:rsidR="00226032" w:rsidRDefault="00383713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Biçənək, örüş və otlaq üçün torpaqların vergi dərəcəsi Metodiki Vəsaitin 3.4.1-ci bəndinə əsasən müəyyən edilərək 2-ci sətrin 6-cı sütununda göstərilir.</w:t>
      </w:r>
    </w:p>
    <w:p w14:paraId="07441B32" w14:textId="77777777" w:rsidR="00226032" w:rsidRDefault="00383713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2-ci sətrin 7-ci sütununda biçənək, </w:t>
      </w:r>
      <w:r>
        <w:rPr>
          <w:rFonts w:ascii="Times New Roman" w:hAnsi="Times New Roman"/>
        </w:rPr>
        <w:t xml:space="preserve">örüş və otlaq üçün torpaqlara hesablanmış vergi məbləği (3, 4 və 6-cı sütunların hasili) göstərilir. </w:t>
      </w:r>
    </w:p>
    <w:p w14:paraId="5AD4079B" w14:textId="77777777" w:rsidR="00226032" w:rsidRDefault="00383713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Sənaye, tikinti, nəqliyyat, rabitə, ticarət, məişət xidməti və digər xüsusi təyinatlı torpaq sahəsinin 10000 kv. m-dək olan və 10000 kv. metrdən çox hissə</w:t>
      </w:r>
      <w:r>
        <w:rPr>
          <w:rFonts w:ascii="Times New Roman" w:hAnsi="Times New Roman"/>
        </w:rPr>
        <w:t>ləri (mülkiyyət və ya istifadə hüququnu təsdiq edən sənədə əsasən) 3-cü sətrin 5-cı sütununda əks etdirilir.</w:t>
      </w:r>
    </w:p>
    <w:p w14:paraId="1334B93A" w14:textId="77777777" w:rsidR="00226032" w:rsidRDefault="00383713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3-cü sətrin 6-cı sütununda sənaye, tikinti, nəqliyyat, rabitə, ticarət, məişət xidməti və digər xüsusi təyinatlı torpaqlar üçün Metodiki Vəsaitin 3</w:t>
      </w:r>
      <w:r>
        <w:rPr>
          <w:rFonts w:ascii="Times New Roman" w:hAnsi="Times New Roman"/>
        </w:rPr>
        <w:t>.4.2-ci bəndində göstərilən müvafiq vergi dərəcələri göstərilir.</w:t>
      </w:r>
    </w:p>
    <w:p w14:paraId="68B29978" w14:textId="77777777" w:rsidR="00226032" w:rsidRDefault="00383713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Formanın 3-cü sətrinin 7-ci sütununda vergi məbləği (5-ci və 6-cı sütunlarının hasilinin 100-ə bölünməsi) əks etdirilir.</w:t>
      </w:r>
    </w:p>
    <w:p w14:paraId="26B681AA" w14:textId="77777777" w:rsidR="00226032" w:rsidRDefault="00383713">
      <w:pPr>
        <w:pStyle w:val="BlockText"/>
        <w:spacing w:line="360" w:lineRule="auto"/>
        <w:ind w:left="0"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Yaşayış fondlarının, həyətyanı sahələrin və bağ sahələrinin tutduğu </w:t>
      </w:r>
      <w:r>
        <w:rPr>
          <w:rFonts w:ascii="Times New Roman" w:hAnsi="Times New Roman"/>
        </w:rPr>
        <w:t>torpaq sahəsinin 10000 kv. m-dək olan və 10000 kv. metrdən çox hissələri (mülkiyyət və ya istifadə hüququnu təsdiq edən sənədə əsasən) 4-cü sətrin 5-ci sütununda göstərilir.</w:t>
      </w:r>
    </w:p>
    <w:p w14:paraId="42990DE8" w14:textId="77777777" w:rsidR="00226032" w:rsidRDefault="00383713">
      <w:pPr>
        <w:pStyle w:val="BlockText"/>
        <w:spacing w:line="360" w:lineRule="auto"/>
        <w:ind w:left="0"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4-cü sətirdə, yaşayış fondlarının, həyətyanı sahələrin və bağ sahələrinin tutduğu </w:t>
      </w:r>
      <w:r>
        <w:rPr>
          <w:rFonts w:ascii="Times New Roman" w:hAnsi="Times New Roman"/>
        </w:rPr>
        <w:t>torpaqların sahəsi üzrə yaşayış məntəqəsinin yerindən asılı olaraq Metodiki Vəsaitin 3.4.2-ci bəndində göstərilən müvafiq vergi dərəcəsi 6-cı sütunda, verginin məbləği  isə (5-ci və 6-cı sütunların hasilinin 100-ə bölünməsi) 7-ci sütunda göstərilir.</w:t>
      </w:r>
    </w:p>
    <w:p w14:paraId="04B74B23" w14:textId="77777777" w:rsidR="00226032" w:rsidRDefault="00383713">
      <w:pPr>
        <w:pStyle w:val="BlockText"/>
        <w:spacing w:line="360" w:lineRule="auto"/>
        <w:ind w:left="0"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Forman</w:t>
      </w:r>
      <w:r>
        <w:rPr>
          <w:rFonts w:ascii="Times New Roman" w:hAnsi="Times New Roman"/>
        </w:rPr>
        <w:t>ın 5-ci sətrinin 7-ci sütununda ayrı-ayrı torpaq kateqoriyalarına görə fiziki şəxsə hesablanmış torpaq vergisinin (1,2,3 və 4-cü sətirlərin cəminə  bərabər olmalıdır) cəmi  göstərilir.</w:t>
      </w:r>
    </w:p>
    <w:p w14:paraId="06CA26A1" w14:textId="77777777" w:rsidR="00226032" w:rsidRDefault="00383713">
      <w:pPr>
        <w:pStyle w:val="BlockText"/>
        <w:spacing w:line="360" w:lineRule="auto"/>
        <w:ind w:left="0"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6-cı sətirdə Metodiki Vəsaitin 3.9.1-ci bəndində göstərilən şəxslərin m</w:t>
      </w:r>
      <w:r>
        <w:rPr>
          <w:rFonts w:ascii="Times New Roman" w:hAnsi="Times New Roman"/>
        </w:rPr>
        <w:t>ülkiyyətində olan  torpaqlara görə 10 manat azaldılmalı vergi məbləği göstərilir.</w:t>
      </w:r>
    </w:p>
    <w:p w14:paraId="1438A8B6" w14:textId="77777777" w:rsidR="00226032" w:rsidRDefault="00383713">
      <w:pPr>
        <w:pStyle w:val="BlockText"/>
        <w:spacing w:line="360" w:lineRule="auto"/>
        <w:ind w:left="0"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7-ci sətirdə Metodiki Vəsaitin 3.9.2-ci bəndində göstərilən şəxslərin istifadə etdikləri torpaqlara görə vergidən azadolmanın məbləği göstərilir.</w:t>
      </w:r>
    </w:p>
    <w:p w14:paraId="5CAD06C3" w14:textId="77777777" w:rsidR="00226032" w:rsidRDefault="00383713">
      <w:pPr>
        <w:pStyle w:val="BlockText"/>
        <w:spacing w:line="360" w:lineRule="auto"/>
        <w:ind w:left="0"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8-ci sətrdə Vergi Məcəlləsin</w:t>
      </w:r>
      <w:r>
        <w:rPr>
          <w:rFonts w:ascii="Times New Roman" w:hAnsi="Times New Roman"/>
        </w:rPr>
        <w:t>in 4.4-cü maddəsinə müvafiq olaraq bələdiyyələrin qərarına əsasən torpaq vergisi üzrə verilmiş güzəşt  məbləği göstərilir.</w:t>
      </w:r>
    </w:p>
    <w:p w14:paraId="74E94CF7" w14:textId="77777777" w:rsidR="00226032" w:rsidRDefault="00383713">
      <w:pPr>
        <w:pStyle w:val="BlockText"/>
        <w:spacing w:line="360" w:lineRule="auto"/>
        <w:ind w:left="0"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9-cu və 5-ci sətirlərdə hesablanmış vergi məbləğlərinin cəmindən 6-cı, 7-ci və 8-ci sətrlər üzrə güzəşt və azadolma məbləğləri çıxıld</w:t>
      </w:r>
      <w:r>
        <w:rPr>
          <w:rFonts w:ascii="Times New Roman" w:hAnsi="Times New Roman"/>
        </w:rPr>
        <w:t>ıqdan sonra fiziki şəxsin ödəməli olduğu vergi məbləği göstərilir.</w:t>
      </w:r>
    </w:p>
    <w:p w14:paraId="353A8FAD" w14:textId="77777777" w:rsidR="00226032" w:rsidRDefault="00383713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Forma torpaq vergisi üzrə hesablamanı aparan və şəxsi hesab vərəqəsinə işləyən vəzifəli şəxs tərəfindən imzalanır, onun vəzifəsi, soyadı, adı, atasının adı və cədvəlin tərtib edildiyi tarix</w:t>
      </w:r>
      <w:r>
        <w:rPr>
          <w:rFonts w:ascii="Times New Roman" w:hAnsi="Times New Roman"/>
        </w:rPr>
        <w:t xml:space="preserve"> göstərilir.</w:t>
      </w:r>
    </w:p>
    <w:p w14:paraId="22A6A1B6" w14:textId="77777777" w:rsidR="00226032" w:rsidRDefault="00226032">
      <w:pPr>
        <w:pStyle w:val="BodyTextIndent"/>
        <w:tabs>
          <w:tab w:val="left" w:pos="7740"/>
        </w:tabs>
        <w:spacing w:after="0" w:line="360" w:lineRule="auto"/>
        <w:ind w:left="7740"/>
        <w:jc w:val="right"/>
        <w:rPr>
          <w:sz w:val="28"/>
          <w:szCs w:val="28"/>
        </w:rPr>
      </w:pPr>
    </w:p>
    <w:sectPr w:rsidR="0022603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 Latin">
    <w:altName w:val="Angsana New"/>
    <w:charset w:val="CC"/>
    <w:family w:val="roman"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Azeri">
    <w:altName w:val="Arial"/>
    <w:charset w:val="CC"/>
    <w:family w:val="swiss"/>
    <w:pitch w:val="default"/>
    <w:sig w:usb0="00000201" w:usb1="00000000" w:usb2="00000000" w:usb3="00000000" w:csb0="00000004" w:csb1="00000000"/>
  </w:font>
  <w:font w:name="Arial AzLat">
    <w:altName w:val="Arial"/>
    <w:charset w:val="CC"/>
    <w:family w:val="swiss"/>
    <w:pitch w:val="default"/>
    <w:sig w:usb0="00000201" w:usb1="00000000" w:usb2="00000000" w:usb3="00000000" w:csb0="00000004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08"/>
  <w:drawingGridHorizontalSpacing w:val="0"/>
  <w:characterSpacingControl w:val="doNotCompress"/>
  <w:compat>
    <w:spaceForUL/>
    <w:doNotLeaveBackslashAlone/>
    <w:ulTrailSpac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032"/>
    <w:rsid w:val="00226032"/>
    <w:rsid w:val="0038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41EE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nhideWhenUsed="0"/>
    <w:lsdException w:name="Subtitle" w:semiHidden="0" w:unhideWhenUsed="0" w:qFormat="1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Note Level 1" w:uiPriority="99"/>
    <w:lsdException w:name="Note Level 2" w:uiPriority="99"/>
    <w:lsdException w:name="Note Level 3" w:uiPriority="99"/>
    <w:lsdException w:name="Note Level 4" w:uiPriority="99"/>
    <w:lsdException w:name="Note Level 5" w:uiPriority="99"/>
    <w:lsdException w:name="Note Level 6" w:uiPriority="99"/>
    <w:lsdException w:name="Note Level 7" w:uiPriority="99"/>
    <w:lsdException w:name="Note Level 8" w:uiPriority="99"/>
    <w:lsdException w:name="Note Level 9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1050"/>
      <w:outlineLvl w:val="0"/>
    </w:pPr>
    <w:rPr>
      <w:rFonts w:ascii="Times Latin" w:hAnsi="Times Lat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ind w:left="4140" w:right="-1050"/>
    </w:pPr>
    <w:rPr>
      <w:rFonts w:ascii="Arial Azeri" w:hAnsi="Arial Azeri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styleId="Caption">
    <w:name w:val="caption"/>
    <w:basedOn w:val="Normal"/>
    <w:qFormat/>
    <w:pPr>
      <w:ind w:right="-1050"/>
      <w:jc w:val="center"/>
    </w:pPr>
    <w:rPr>
      <w:rFonts w:ascii="Arial AzLat" w:hAnsi="Arial AzLat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paragraph" w:styleId="Subtitle">
    <w:name w:val="Subtitle"/>
    <w:basedOn w:val="Normal"/>
    <w:link w:val="SubtitleChar"/>
    <w:qFormat/>
    <w:pPr>
      <w:ind w:right="-199"/>
    </w:pPr>
    <w:rPr>
      <w:rFonts w:ascii="Arial AzLat" w:hAnsi="Arial AzLat"/>
      <w:i/>
      <w:iCs/>
      <w:sz w:val="24"/>
      <w:szCs w:val="24"/>
    </w:rPr>
  </w:style>
  <w:style w:type="paragraph" w:customStyle="1" w:styleId="CharChar1CharChar">
    <w:name w:val="Char Char1 Знак Знак Char Char"/>
    <w:basedOn w:val="Normal"/>
    <w:pPr>
      <w:spacing w:before="60" w:after="160" w:line="240" w:lineRule="exact"/>
    </w:pPr>
    <w:rPr>
      <w:rFonts w:eastAsia="MS Mincho"/>
      <w:sz w:val="24"/>
      <w:lang w:eastAsia="en-US"/>
    </w:rPr>
  </w:style>
  <w:style w:type="paragraph" w:customStyle="1" w:styleId="CharChar1CharChar1">
    <w:name w:val="Char Char1 Знак Знак Char Char1"/>
    <w:basedOn w:val="Normal"/>
    <w:pPr>
      <w:spacing w:before="60" w:after="160" w:line="240" w:lineRule="exact"/>
    </w:pPr>
    <w:rPr>
      <w:rFonts w:eastAsia="MS Mincho"/>
      <w:sz w:val="24"/>
      <w:lang w:eastAsia="en-US"/>
    </w:rPr>
  </w:style>
  <w:style w:type="paragraph" w:customStyle="1" w:styleId="CharChar1CharChar2">
    <w:name w:val="Char Char1 Знак Знак Char Char2"/>
    <w:basedOn w:val="Normal"/>
    <w:pPr>
      <w:spacing w:before="60" w:after="160" w:line="240" w:lineRule="exact"/>
    </w:pPr>
    <w:rPr>
      <w:rFonts w:eastAsia="MS Mincho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Pr>
      <w:rFonts w:ascii="Times Latin" w:eastAsia="Times New Roman" w:hAnsi="Times Lati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0"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Arial AzLat" w:eastAsia="Times New Roman" w:hAnsi="Arial AzLat" w:cs="Times New Roman"/>
      <w:i/>
      <w:i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az-Latn-A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3490</Characters>
  <Application>Microsoft Macintosh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Azərbaycan Respublikası Vergilər Nazirliyinin “__” may 2015-ci il tarixli 1517040100655900 nömrəli əmri ilə təsdiq edilmiş "Yerli (bələdiyyə) vergi və ödənişlərin hesablanması, ödənilməsi və uçotu ilə bağlı Metodiki Vəsait"ə Əlavə 2</dc:title>
  <dc:creator>Yunis Quliyev</dc:creator>
  <cp:lastModifiedBy>Wallabia</cp:lastModifiedBy>
  <cp:revision>1</cp:revision>
  <cp:lastPrinted>2015-04-13T06:32:00Z</cp:lastPrinted>
  <dcterms:created xsi:type="dcterms:W3CDTF">2013-11-26T13:57:00Z</dcterms:created>
  <dcterms:modified xsi:type="dcterms:W3CDTF">2015-05-14T05:43:00Z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</Properties>
</file>