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
        <w:ind w:left="5940" w:right="0" w:firstLine="0"/>
        <w:spacing/>
        <w:jc w:val="both"/>
        <w:tabs defTabSz="708">
          <w:tab w:val="left" w:pos="6300" w:leader="none"/>
        </w:tabs>
        <w:rPr>
          <w:rFonts w:ascii="Times New Roman" w:hAnsi="Times New Roman" w:cs="Times New Roman"/>
          <w:b w:val="0"/>
          <w:sz w:val="24"/>
          <w:lang w:val="az-Latn-az"/>
        </w:rPr>
      </w:pPr>
      <w:r>
        <w:rPr>
          <w:rFonts w:ascii="Times New Roman" w:hAnsi="Times New Roman" w:cs="Times New Roman"/>
          <w:b w:val="0"/>
          <w:sz w:val="24"/>
          <w:lang w:val="az-Latn-az"/>
        </w:rPr>
        <w:t xml:space="preserve">Azərbaycan Respublikası Vergilər Nazirinin   22 aprel 2019-cu il tarixli </w:t>
      </w:r>
      <w:r>
        <w:rPr>
          <w:rFonts w:ascii="TimesNewRomanPSMT" w:hAnsi="TimesNewRomanPSMT" w:eastAsia="TimesNewRomanPSMT" w:cs="TimesNewRomanPSMT"/>
          <w:b w:val="0"/>
          <w:kern w:val="1"/>
          <w:sz w:val="24"/>
          <w:lang w:eastAsia="zh-cn" w:bidi="ar-sa"/>
        </w:rPr>
        <w:t xml:space="preserve">1917040100406700 </w:t>
      </w:r>
      <w:r>
        <w:rPr>
          <w:rFonts w:ascii="Times New Roman" w:hAnsi="Times New Roman" w:cs="Times New Roman"/>
          <w:b w:val="0"/>
          <w:sz w:val="24"/>
          <w:lang w:val="az-Latn-az"/>
        </w:rPr>
        <w:t>№-li Əmri ilə təsdiq edilmişdir</w:t>
      </w:r>
    </w:p>
    <w:p>
      <w:pPr>
        <w:pStyle w:val="para1"/>
        <w:ind w:left="5940" w:right="-180" w:firstLine="720"/>
        <w:rPr>
          <w:rFonts w:ascii="Times New Roman" w:hAnsi="Times New Roman" w:cs="Times New Roman"/>
          <w:b w:val="0"/>
          <w:sz w:val="28"/>
          <w:szCs w:val="28"/>
          <w:lang w:val="az-Latn-az"/>
        </w:rPr>
      </w:pPr>
      <w:r>
        <w:rPr>
          <w:rFonts w:ascii="Times New Roman" w:hAnsi="Times New Roman" w:cs="Times New Roman"/>
          <w:b w:val="0"/>
          <w:sz w:val="28"/>
          <w:szCs w:val="28"/>
          <w:lang w:val="az-Latn-az"/>
        </w:rPr>
      </w:r>
    </w:p>
    <w:p>
      <w:pPr>
        <w:pStyle w:val="para1"/>
        <w:ind w:left="-360" w:firstLine="720"/>
        <w:rPr>
          <w:rFonts w:ascii="Times New Roman" w:hAnsi="Times New Roman" w:cs="Times New Roman"/>
          <w:sz w:val="28"/>
          <w:szCs w:val="28"/>
          <w:lang w:val="az-Latn-az"/>
        </w:rPr>
      </w:pPr>
      <w:r>
        <w:rPr>
          <w:rFonts w:ascii="Times New Roman" w:hAnsi="Times New Roman" w:cs="Times New Roman"/>
          <w:sz w:val="28"/>
          <w:szCs w:val="28"/>
          <w:lang w:val="az-Latn-az"/>
        </w:rPr>
      </w:r>
    </w:p>
    <w:p>
      <w:pPr>
        <w:pStyle w:val="para1"/>
        <w:ind w:left="-360" w:firstLine="720"/>
        <w:rPr>
          <w:rFonts w:ascii="Times New Roman" w:hAnsi="Times New Roman" w:cs="Times New Roman"/>
          <w:bCs/>
          <w:sz w:val="28"/>
          <w:szCs w:val="28"/>
          <w:lang w:val="az-Latn-az"/>
        </w:rPr>
      </w:pPr>
      <w:r>
        <w:rPr>
          <w:rFonts w:ascii="Times New Roman" w:hAnsi="Times New Roman" w:cs="Times New Roman"/>
          <w:sz w:val="28"/>
          <w:szCs w:val="28"/>
          <w:lang w:val="az-Latn-az"/>
        </w:rPr>
        <w:t xml:space="preserve">«Vergi ödəyicisinin əlavə dəyər vergisinin məqsədləri üçün qeydiyyata alınması haqqında ərizə» formasının </w:t>
      </w:r>
      <w:r>
        <w:rPr>
          <w:rFonts w:ascii="Times New Roman" w:hAnsi="Times New Roman" w:cs="Times New Roman"/>
          <w:bCs/>
          <w:sz w:val="28"/>
          <w:szCs w:val="28"/>
          <w:lang w:val="az-Latn-az"/>
        </w:rPr>
        <w:t>doldurulması</w:t>
      </w:r>
    </w:p>
    <w:p>
      <w:pPr>
        <w:pStyle w:val="para1"/>
        <w:ind w:left="-360" w:firstLine="1800"/>
        <w:rPr>
          <w:rFonts w:ascii="Times New Roman" w:hAnsi="Times New Roman" w:cs="Times New Roman"/>
          <w:bCs/>
          <w:sz w:val="28"/>
          <w:szCs w:val="28"/>
          <w:lang w:val="az-Latn-az"/>
        </w:rPr>
      </w:pPr>
      <w:r>
        <w:rPr>
          <w:rFonts w:ascii="Times New Roman" w:hAnsi="Times New Roman" w:cs="Times New Roman"/>
          <w:bCs/>
          <w:sz w:val="28"/>
          <w:szCs w:val="28"/>
          <w:lang w:val="az-Latn-az"/>
        </w:rPr>
      </w:r>
    </w:p>
    <w:p>
      <w:pPr>
        <w:pStyle w:val="para1"/>
        <w:ind w:left="-360" w:right="360" w:firstLine="360"/>
        <w:rPr>
          <w:rFonts w:ascii="Times New Roman" w:hAnsi="Times New Roman" w:cs="Times New Roman"/>
          <w:b w:val="0"/>
          <w:sz w:val="28"/>
          <w:szCs w:val="28"/>
          <w:lang w:val="az-Latn-az"/>
        </w:rPr>
      </w:pPr>
      <w:r>
        <w:rPr>
          <w:rFonts w:ascii="Times New Roman" w:hAnsi="Times New Roman" w:cs="Times New Roman"/>
          <w:bCs/>
          <w:sz w:val="28"/>
          <w:szCs w:val="28"/>
          <w:lang w:val="az-Latn-az"/>
        </w:rPr>
        <w:t xml:space="preserve"> QAYDASI</w:t>
      </w:r>
      <w:r>
        <w:rPr>
          <w:rFonts w:ascii="Times New Roman" w:hAnsi="Times New Roman" w:cs="Times New Roman"/>
          <w:b w:val="0"/>
          <w:sz w:val="28"/>
          <w:szCs w:val="28"/>
          <w:lang w:val="az-Latn-az"/>
        </w:rPr>
      </w:r>
    </w:p>
    <w:p>
      <w:pPr>
        <w:ind w:left="-360" w:right="-81"/>
        <w:spacing/>
        <w:jc w:val="both"/>
        <w:rPr>
          <w:b/>
          <w:sz w:val="28"/>
          <w:szCs w:val="28"/>
          <w:lang w:val="az-Latn-az"/>
        </w:rPr>
      </w:pPr>
      <w:r>
        <w:rPr>
          <w:b/>
          <w:sz w:val="28"/>
          <w:szCs w:val="28"/>
          <w:lang w:val="az-Latn-az"/>
        </w:rPr>
      </w:r>
    </w:p>
    <w:p>
      <w:pPr>
        <w:pStyle w:val="para1"/>
        <w:ind w:firstLine="567"/>
        <w:spacing/>
        <w:jc w:val="both"/>
        <w:tabs defTabSz="708">
          <w:tab w:val="left" w:pos="180" w:leader="none"/>
        </w:tabs>
        <w:rPr>
          <w:rFonts w:ascii="Times New Roman" w:hAnsi="Times New Roman" w:cs="Times New Roman"/>
          <w:b w:val="0"/>
          <w:bCs/>
          <w:sz w:val="28"/>
          <w:lang w:val="az-Latn-az"/>
        </w:rPr>
      </w:pPr>
      <w:r>
        <w:rPr>
          <w:rFonts w:ascii="Times New Roman" w:hAnsi="Times New Roman" w:cs="Times New Roman"/>
          <w:sz w:val="28"/>
          <w:szCs w:val="28"/>
          <w:lang w:val="az-Latn-az"/>
        </w:rPr>
        <w:t>«Vergi ödəyicisinin əlavə dəyər vergisinin məqsədləri üçün qeydiyyata alınması haqqında ərizə»</w:t>
      </w:r>
      <w:r>
        <w:rPr>
          <w:rFonts w:ascii="Times New Roman" w:hAnsi="Times New Roman" w:cs="Times New Roman"/>
          <w:b w:val="0"/>
          <w:sz w:val="28"/>
          <w:szCs w:val="28"/>
          <w:lang w:val="az-Latn-az"/>
        </w:rPr>
        <w:t xml:space="preserve"> forması əlavə dəyər vergisi məqsədləri üçün qeydiyyata alınmaq məqsədilə vergi ödəyiciləri tərəfindən doldurulur və vergi orqanına təqdim edilir. </w:t>
      </w:r>
      <w:r>
        <w:rPr>
          <w:rFonts w:ascii="Times New Roman" w:hAnsi="Times New Roman" w:cs="Times New Roman"/>
          <w:b w:val="0"/>
          <w:bCs/>
          <w:sz w:val="28"/>
          <w:szCs w:val="28"/>
          <w:lang w:val="az-Latn-az"/>
        </w:rPr>
        <w:t xml:space="preserve">Ərizə vergi orqanına elektron və kağız formada təqdim oluna bilər. </w:t>
      </w:r>
      <w:r>
        <w:rPr>
          <w:rFonts w:ascii="Times New Roman" w:hAnsi="Times New Roman" w:cs="Times New Roman"/>
          <w:b w:val="0"/>
          <w:sz w:val="28"/>
          <w:szCs w:val="28"/>
          <w:lang w:val="az-Latn-az"/>
        </w:rPr>
        <w:t xml:space="preserve">ƏDV-nin məqsədləri üçün qeydiyyatdan keçməyə borclu olan, lakin qeydiyyat üçün ərizə verməyən vergi ödəyicilərinin vergi orqanının təşəbbüsü ilə uçota alınması zamanı bu ərizə forması tətbiq edilmir. </w:t>
      </w:r>
      <w:r>
        <w:rPr>
          <w:rFonts w:ascii="Times New Roman" w:hAnsi="Times New Roman" w:cs="Times New Roman"/>
          <w:b w:val="0"/>
          <w:bCs/>
          <w:sz w:val="28"/>
          <w:lang w:val="az-Latn-az"/>
        </w:rPr>
        <w:t xml:space="preserve">Ərizə forması </w:t>
      </w:r>
      <w:r>
        <w:rPr>
          <w:rFonts w:ascii="Times New Roman" w:hAnsi="Times New Roman" w:cs="Times New Roman"/>
          <w:bCs/>
          <w:sz w:val="28"/>
          <w:lang w:val="az-Latn-az"/>
        </w:rPr>
        <w:t>5 bölmədən</w:t>
      </w:r>
      <w:r>
        <w:rPr>
          <w:rFonts w:ascii="Times New Roman" w:hAnsi="Times New Roman" w:cs="Times New Roman"/>
          <w:b w:val="0"/>
          <w:bCs/>
          <w:sz w:val="28"/>
          <w:lang w:val="az-Latn-az"/>
        </w:rPr>
        <w:t xml:space="preserve"> ibarətdir.</w:t>
      </w:r>
    </w:p>
    <w:p>
      <w:pPr>
        <w:pStyle w:val="para1"/>
        <w:ind w:firstLine="567"/>
        <w:spacing/>
        <w:jc w:val="both"/>
        <w:tabs defTabSz="708">
          <w:tab w:val="left" w:pos="180" w:leader="none"/>
        </w:tabs>
        <w:rPr>
          <w:rFonts w:ascii="Times New Roman" w:hAnsi="Times New Roman" w:cs="Times New Roman"/>
          <w:b w:val="0"/>
          <w:sz w:val="28"/>
          <w:szCs w:val="28"/>
          <w:lang w:val="az-Latn-az"/>
        </w:rPr>
      </w:pPr>
      <w:r>
        <w:rPr>
          <w:rFonts w:ascii="Times New Roman" w:hAnsi="Times New Roman" w:cs="Times New Roman"/>
          <w:sz w:val="28"/>
          <w:szCs w:val="28"/>
          <w:lang w:val="az-Latn-az"/>
        </w:rPr>
        <w:t>«1.Ərizənin təyinatı» bölməsində</w:t>
      </w:r>
      <w:r>
        <w:rPr>
          <w:rFonts w:ascii="Times New Roman" w:hAnsi="Times New Roman" w:cs="Times New Roman"/>
          <w:b w:val="0"/>
          <w:sz w:val="28"/>
          <w:szCs w:val="28"/>
          <w:lang w:val="az-Latn-az"/>
        </w:rPr>
        <w:t xml:space="preserve"> ərizənin doldurulma səbəbi lazımi xanada işarə edilməklə göstərilir. Qeydiyyata dair ərizə Vergi Məcəlləsinin 156.1-ci maddəsinə uyğun olaraq qeydiyyatdan keçməli olmayan şəxs tərəfindən könüllü qaydada verilirsə, bu halda 1.1 sətrindəki xanada işarə edilir. </w:t>
      </w:r>
    </w:p>
    <w:p>
      <w:pPr>
        <w:pStyle w:val="para1"/>
        <w:ind w:firstLine="567"/>
        <w:spacing/>
        <w:jc w:val="both"/>
        <w:tabs defTabSz="708">
          <w:tab w:val="left" w:pos="180" w:leader="none"/>
        </w:tabs>
        <w:rPr>
          <w:rFonts w:ascii="Times New Roman" w:hAnsi="Times New Roman" w:cs="Times New Roman"/>
          <w:b w:val="0"/>
          <w:sz w:val="28"/>
          <w:szCs w:val="28"/>
          <w:lang w:val="az-Latn-az"/>
        </w:rPr>
      </w:pPr>
      <w:r>
        <w:rPr>
          <w:rFonts w:ascii="Times New Roman" w:hAnsi="Times New Roman" w:cs="Times New Roman"/>
          <w:b w:val="0"/>
          <w:sz w:val="28"/>
          <w:szCs w:val="28"/>
          <w:lang w:val="az-Latn-az"/>
        </w:rPr>
        <w:t>Vergi Məcəlləsinin 156.1-1-ci maddəsinə əsasən mülkiyyətində və ya istifadəsində olan avtonəqliyyat vasitələri ilə Azərbaycan Respublikasının ərazisində sərnişin və yük daşımalarını (o cümlədən taksi ilə) və yaxud həmin daşımaları müqavilə əsasında digər şəxslər vasitəsi ilə həyata keçirən şəxslər tərəfindən qeydiyyata dair ərizə  könüllü qaydada verilirsə, bu halda 1.2 sətrindəki xanada işarə edilir. Həmin şəxslər mütləq qaydada aşağıdakı şərtlərə cavab verməlidirlər:</w:t>
      </w:r>
    </w:p>
    <w:p>
      <w:pPr>
        <w:ind w:firstLine="567"/>
        <w:spacing/>
        <w:jc w:val="both"/>
        <w:rPr>
          <w:sz w:val="28"/>
          <w:szCs w:val="28"/>
          <w:lang w:val="az-Latn-az"/>
        </w:rPr>
      </w:pPr>
      <w:r>
        <w:rPr>
          <w:sz w:val="28"/>
          <w:szCs w:val="28"/>
          <w:lang w:val="az-Latn-az"/>
        </w:rPr>
        <w:t>- göstərilən xidmətlərin dəyərini və alınmış malların (işlərin və xidmətlərin) dəyərini nağdsız qaydada əldə edən və ödəyən;</w:t>
      </w:r>
    </w:p>
    <w:p>
      <w:pPr>
        <w:ind w:firstLine="567"/>
        <w:spacing/>
        <w:jc w:val="both"/>
        <w:rPr>
          <w:sz w:val="28"/>
          <w:szCs w:val="28"/>
          <w:lang w:val="az-Latn-az"/>
        </w:rPr>
      </w:pPr>
      <w:r>
        <w:rPr>
          <w:sz w:val="28"/>
          <w:szCs w:val="28"/>
          <w:lang w:val="az-Latn-az"/>
        </w:rPr>
        <w:t>- digər vergi ödəyicilərinə göstərilən xidmətlər üzrə əldə edilən gəlirlərini və gəlirlərin əldə edilməsi üzrə çəkilən xərclərini elektron qaimə-faktura ilə rəsmiləşdirən;</w:t>
      </w:r>
    </w:p>
    <w:p>
      <w:pPr>
        <w:ind w:firstLine="567"/>
        <w:spacing/>
        <w:jc w:val="both"/>
        <w:rPr>
          <w:sz w:val="28"/>
          <w:szCs w:val="28"/>
          <w:lang w:val="az-Latn-az"/>
        </w:rPr>
      </w:pPr>
      <w:r>
        <w:rPr>
          <w:sz w:val="28"/>
          <w:szCs w:val="28"/>
          <w:lang w:val="az-Latn-az"/>
        </w:rPr>
        <w:t>-  göstərilən xidmətlər üzrə əməliyyatların uçotunu vahid mərkəzləşdirilmiş elektron sistem üzərində aparan və vergi orqanının həmin sistemə məsafədən çıxış imkanını təmin edən.</w:t>
      </w:r>
    </w:p>
    <w:p>
      <w:pPr>
        <w:pStyle w:val="para1"/>
        <w:ind w:firstLine="567"/>
        <w:spacing/>
        <w:jc w:val="both"/>
        <w:tabs defTabSz="708">
          <w:tab w:val="left" w:pos="180" w:leader="none"/>
        </w:tabs>
        <w:rPr>
          <w:rFonts w:ascii="Times New Roman" w:hAnsi="Times New Roman" w:cs="Times New Roman"/>
          <w:b w:val="0"/>
          <w:sz w:val="28"/>
          <w:szCs w:val="28"/>
          <w:lang w:val="az-Latn-az"/>
        </w:rPr>
      </w:pPr>
      <w:r>
        <w:rPr>
          <w:rFonts w:ascii="Times New Roman" w:hAnsi="Times New Roman" w:cs="Times New Roman"/>
          <w:b w:val="0"/>
          <w:sz w:val="28"/>
          <w:szCs w:val="28"/>
          <w:lang w:val="az-Latn-az"/>
        </w:rPr>
        <w:t>Vergi Məcəlləsinin 155.1-ci maddəsinə uyğun olaraq sahibkarlıq fəaliyyəti göstərən və ardıcıl 12 aylıq dövr ərzində vergi tutulan əməliyyatlarının həcmi 200000 manatdan artıq olan şəxs həmin dövr başa çatdıqdan sonra 10 gün ərzində ƏDV-nin məqsədləri üçün qeydiyyata dair ərizə verməyə borcludur. Qeydiyyatın  aparılmasına səbəb Vergi Məcəlləsinin 155.1-ci maddəsinə uyğun vergi tutulan əməliyyatların həcminin artması ilə əlaqədar olduqda 1.3 sətrindəki xanada, bir əqd və ya müqavilə üzrə ƏDV-ə cəlb olunan əməliyyatın ümumi dəyərinə əsasən qeydiyyat olduqda isə vergi ödəyicisi tərəfindən 1.4 sətrindəki xanada, Vergi Məcəlləsinin 154.6-cı maddəsinə uyğun aksizli, məcburi nişanlama ilə nişanlanmalı malların istehsalçıları və sadələşdirilmiş verginin ödəyicisi olmaq hüququndan istifadə etməyən bina tikintisi fəaliyyəti ilə məşğul olan şəxslərin qeydiyyatı olduqda 1.5-ci sətrdəki xana işarə edilir.</w:t>
      </w:r>
    </w:p>
    <w:p>
      <w:pPr>
        <w:pStyle w:val="para1"/>
        <w:ind w:firstLine="567"/>
        <w:spacing/>
        <w:jc w:val="both"/>
        <w:tabs defTabSz="708">
          <w:tab w:val="left" w:pos="180" w:leader="none"/>
        </w:tabs>
        <w:rPr>
          <w:rFonts w:ascii="Times New Roman" w:hAnsi="Times New Roman" w:cs="Times New Roman"/>
          <w:b w:val="0"/>
          <w:bCs/>
          <w:sz w:val="28"/>
          <w:lang w:val="az-Latn-az"/>
        </w:rPr>
      </w:pPr>
      <w:r>
        <w:rPr>
          <w:rFonts w:ascii="Times New Roman" w:hAnsi="Times New Roman" w:cs="Times New Roman"/>
          <w:b w:val="0"/>
          <w:bCs/>
          <w:sz w:val="28"/>
          <w:lang w:val="az-Latn-az"/>
        </w:rPr>
        <w:t xml:space="preserve"> </w:t>
      </w:r>
      <w:r>
        <w:rPr>
          <w:rFonts w:ascii="Times New Roman" w:hAnsi="Times New Roman" w:cs="Times New Roman"/>
          <w:bCs/>
          <w:sz w:val="28"/>
          <w:lang w:val="az-Latn-az"/>
        </w:rPr>
        <w:t>«2.Ərizənin təqdim edildiyi vergi orqanı»</w:t>
      </w:r>
      <w:r>
        <w:rPr>
          <w:rFonts w:ascii="Times New Roman" w:hAnsi="Times New Roman" w:cs="Times New Roman"/>
          <w:b w:val="0"/>
          <w:bCs/>
          <w:sz w:val="28"/>
          <w:lang w:val="az-Latn-az"/>
        </w:rPr>
        <w:t xml:space="preserve"> </w:t>
      </w:r>
      <w:r>
        <w:rPr>
          <w:rFonts w:ascii="Times New Roman" w:hAnsi="Times New Roman" w:cs="Times New Roman"/>
          <w:bCs/>
          <w:sz w:val="28"/>
          <w:lang w:val="az-Latn-az"/>
        </w:rPr>
        <w:t>bölməsində</w:t>
      </w:r>
      <w:r>
        <w:rPr>
          <w:rFonts w:ascii="Times New Roman" w:hAnsi="Times New Roman" w:cs="Times New Roman"/>
          <w:b w:val="0"/>
          <w:bCs/>
          <w:sz w:val="28"/>
          <w:lang w:val="az-Latn-az"/>
        </w:rPr>
        <w:t xml:space="preserve"> müvafiq vergi orqanının adı 2.1 sətrindəki xanalarda göstərilir.</w:t>
      </w:r>
    </w:p>
    <w:p>
      <w:pPr>
        <w:pStyle w:val="para1"/>
        <w:ind w:firstLine="567"/>
        <w:spacing/>
        <w:jc w:val="both"/>
        <w:tabs defTabSz="708">
          <w:tab w:val="left" w:pos="180" w:leader="none"/>
        </w:tabs>
        <w:rPr>
          <w:rFonts w:ascii="Times New Roman" w:hAnsi="Times New Roman" w:cs="Times New Roman"/>
          <w:b w:val="0"/>
          <w:bCs/>
          <w:sz w:val="28"/>
          <w:lang w:val="az-Latn-az"/>
        </w:rPr>
      </w:pPr>
      <w:r>
        <w:rPr>
          <w:rFonts w:ascii="Times New Roman" w:hAnsi="Times New Roman" w:cs="Times New Roman"/>
          <w:bCs/>
          <w:sz w:val="28"/>
          <w:lang w:val="az-Latn-az"/>
        </w:rPr>
        <w:t>«3.Vergi ödəyicisi haqqında məlumat» bölməsində</w:t>
      </w:r>
      <w:r>
        <w:rPr>
          <w:rFonts w:ascii="Times New Roman" w:hAnsi="Times New Roman" w:cs="Times New Roman"/>
          <w:b w:val="0"/>
          <w:bCs/>
          <w:sz w:val="28"/>
          <w:lang w:val="az-Latn-az"/>
        </w:rPr>
        <w:t xml:space="preserve"> 3.1 sətrindəki xanalarda vergi ödəyicisinin qısaldılmış adı göstərilir. Əgər vergi ödəyicisi fiziki şəxsdirsə, bu halda onun soyadı tam, adı və atasının adının ilk hərfləri göstərilir. 3.2 sətrindəki xanalarda vergi ödəyicisinin 10 rəqəmli VÖEN-i göstərilir.</w:t>
      </w:r>
    </w:p>
    <w:p>
      <w:pPr>
        <w:pStyle w:val="para1"/>
        <w:ind w:firstLine="567"/>
        <w:spacing/>
        <w:jc w:val="both"/>
        <w:tabs defTabSz="708">
          <w:tab w:val="left" w:pos="180" w:leader="none"/>
        </w:tabs>
        <w:rPr>
          <w:rFonts w:ascii="Times New Roman" w:hAnsi="Times New Roman" w:cs="Times New Roman"/>
          <w:b w:val="0"/>
          <w:sz w:val="28"/>
          <w:szCs w:val="28"/>
          <w:lang w:val="az-Latn-az"/>
        </w:rPr>
      </w:pPr>
      <w:r>
        <w:rPr>
          <w:rFonts w:ascii="Times New Roman" w:hAnsi="Times New Roman" w:cs="Times New Roman"/>
          <w:sz w:val="28"/>
          <w:szCs w:val="28"/>
          <w:lang w:val="az-Latn-az"/>
        </w:rPr>
        <w:t>«4.Ərizənin məzmunu» bölməsində</w:t>
      </w:r>
      <w:r>
        <w:rPr>
          <w:rFonts w:ascii="Times New Roman" w:hAnsi="Times New Roman" w:cs="Times New Roman"/>
          <w:b w:val="0"/>
          <w:sz w:val="28"/>
          <w:szCs w:val="28"/>
          <w:lang w:val="az-Latn-az"/>
        </w:rPr>
        <w:t xml:space="preserve"> vergi ödəyicisi tərəfindən 4.1 sətrində müvafiq xanada qeydiyyatın qüvvəyə minmə tarixi (gün, ay, il) göstərilir.  1.1-ci sətirdəki xana seçildikdə ƏDV qeydiyyatının qüvvəyə minmə tarixi VM-nin 157.3.3.-cü maddəsinə əsasən 3 il müddətindən (156.1-1-ci maddə istisna olmaqla) əvvələ göstərilə bilməz. 1.2-ci sətirdəki xana seçildikdə VM-nin 156.1-1-ci maddəsində nəzərdə tutulan şəxslərin ƏDV məqsədləri üçün qeydiyyatı yanvar ayının 1-dən qüvvəyə minir. 4.2, 4.3 və 4.4 sətirlərində ərizəni imzalayan səlahiyyətli şəxsin soyadı, adı və atasının adı və 4.5 sətrində ərizənin vergi orqanına təqdim edilmə tarixi qeyd edilir. Ərizə 4.6 sətrinə uyğun yerdə imzalanır. Möhür olduqda ərizə möhürlə də təsdiqlənməlidir.</w:t>
      </w:r>
    </w:p>
    <w:p>
      <w:pPr>
        <w:pStyle w:val="para1"/>
        <w:ind w:firstLine="567"/>
        <w:spacing/>
        <w:jc w:val="both"/>
        <w:tabs defTabSz="708">
          <w:tab w:val="left" w:pos="180" w:leader="none"/>
        </w:tabs>
        <w:rPr>
          <w:rFonts w:ascii="Times New Roman" w:hAnsi="Times New Roman" w:cs="Times New Roman"/>
          <w:b w:val="0"/>
          <w:bCs/>
          <w:sz w:val="28"/>
          <w:lang w:val="az-Latn-az"/>
        </w:rPr>
      </w:pPr>
      <w:r>
        <w:rPr>
          <w:rFonts w:ascii="Times New Roman" w:hAnsi="Times New Roman" w:cs="Times New Roman"/>
          <w:bCs/>
          <w:sz w:val="28"/>
          <w:lang w:val="az-Latn-az"/>
        </w:rPr>
        <w:t>«5.Vergi orqanının qeydləri» bölməsi</w:t>
      </w:r>
      <w:r>
        <w:rPr>
          <w:rFonts w:ascii="Times New Roman" w:hAnsi="Times New Roman" w:cs="Times New Roman"/>
          <w:b w:val="0"/>
          <w:bCs/>
          <w:sz w:val="28"/>
          <w:lang w:val="az-Latn-az"/>
        </w:rPr>
        <w:t xml:space="preserve"> vergi orqanının vəzifəli şəxsi tərəfindən doldurulur.</w:t>
      </w:r>
    </w:p>
    <w:p>
      <w:pPr>
        <w:pStyle w:val="para1"/>
        <w:ind w:firstLine="567"/>
        <w:spacing/>
        <w:jc w:val="both"/>
        <w:tabs defTabSz="708">
          <w:tab w:val="left" w:pos="180" w:leader="none"/>
        </w:tabs>
        <w:rPr>
          <w:rFonts w:ascii="Times New Roman" w:hAnsi="Times New Roman" w:cs="Times New Roman"/>
          <w:b w:val="0"/>
          <w:sz w:val="28"/>
          <w:szCs w:val="28"/>
          <w:lang w:val="az-Latn-az"/>
        </w:rPr>
      </w:pPr>
      <w:r>
        <w:rPr>
          <w:rFonts w:ascii="Times New Roman" w:hAnsi="Times New Roman" w:cs="Times New Roman"/>
          <w:b w:val="0"/>
          <w:bCs/>
          <w:sz w:val="28"/>
          <w:szCs w:val="28"/>
          <w:lang w:val="az-Latn-az"/>
        </w:rPr>
        <w:t xml:space="preserve">Ərizənin rekvizitlərin boş saxlanılmasına yol verilmir. Ərizə kağız formatda təqdim olunduqda, </w:t>
      </w:r>
      <w:r>
        <w:rPr>
          <w:rFonts w:ascii="Times New Roman" w:hAnsi="Times New Roman" w:cs="Times New Roman"/>
          <w:b w:val="0"/>
          <w:sz w:val="28"/>
          <w:szCs w:val="28"/>
          <w:lang w:val="az-Latn-az"/>
        </w:rPr>
        <w:t>bütün rekvizitləri Azərbaycan dilində (latın qrafikası) böyük çap hərfləri ilə qara və ya tünd göy rəngli qələmdən (karandaşla doldurulmasına icazə verilmir) istifadə edərək yazılmalıdır.</w:t>
      </w:r>
    </w:p>
    <w:p>
      <w:pPr>
        <w:ind w:firstLine="567"/>
        <w:spacing/>
        <w:jc w:val="center"/>
        <w:rPr>
          <w:lang w:val="az-Latn-az"/>
        </w:rPr>
      </w:pPr>
      <w:r>
        <w:rPr>
          <w:sz w:val="28"/>
          <w:lang w:val="az-Latn-az"/>
        </w:rPr>
        <w:t>______</w:t>
      </w:r>
      <w:r>
        <w:rPr>
          <w:lang w:val="az-Latn-az"/>
        </w:rPr>
      </w:r>
    </w:p>
    <w:sectPr>
      <w:footnotePr>
        <w:pos w:val="pageBottom"/>
        <w:numFmt w:val="decimal"/>
        <w:numStart w:val="1"/>
        <w:numRestart w:val="continuous"/>
      </w:footnotePr>
      <w:endnotePr>
        <w:pos w:val="docEnd"/>
        <w:numFmt w:val="decimal"/>
        <w:numStart w:val="1"/>
        <w:numRestart w:val="continuous"/>
      </w:endnotePr>
      <w:headerReference w:type="default" r:id="rId8"/>
      <w:footerReference w:type="default" r:id="rId9"/>
      <w:headerReference w:type="first" r:id="rId10"/>
      <w:footerReference w:type="first" r:id="rId11"/>
      <w:type w:val="nextPage"/>
      <w:pgSz w:h="16838" w:w="11906"/>
      <w:pgMar w:left="1260" w:top="719" w:right="926" w:bottom="719" w:header="708" w:footer="0"/>
      <w:paperSrc w:first="0" w:other="0"/>
      <w:pgNumType w:fmt="decimal"/>
      <w:titlePg/>
      <w:tmGutter w:val="3"/>
      <w:mirrorMargins w:val="0"/>
      <w:tmSection w:h="-2">
        <w:tmHeader w:id="0" w:h="0" edge="708"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MS Mincho">
    <w:charset w:val="00"/>
    <w:family w:val="modern"/>
    <w:pitch w:val="default"/>
  </w:font>
  <w:font w:name="Times Latin">
    <w:charset w:val="00"/>
    <w:family w:val="roman"/>
    <w:pitch w:val="default"/>
  </w:font>
  <w:font w:name="Calibri">
    <w:charset w:val="00"/>
    <w:family w:val="swiss"/>
    <w:pitch w:val="default"/>
  </w:font>
  <w:font w:name="Tahoma">
    <w:charset w:val="00"/>
    <w:family w:val="swiss"/>
    <w:pitch w:val="default"/>
  </w:font>
  <w:font w:name="TimesNewRomanPSM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2"/>
      <w:ind w:right="360"/>
    </w:pPr>
    <w:r>
      <w:rPr>
        <w:noProof/>
      </w:rPr>
      <mc:AlternateContent>
        <mc:Choice Requires="wps">
          <w:drawing>
            <wp:anchor distT="0" distB="0" distL="0" distR="0" simplePos="0" relativeHeight="251658241" behindDoc="0" locked="0" layoutInCell="0" hidden="0" allowOverlap="1">
              <wp:simplePos x="0" y="0"/>
              <wp:positionH relativeFrom="margin">
                <wp:align>right</wp:align>
              </wp:positionH>
              <wp:positionV relativeFrom="paragraph">
                <wp:posOffset>635</wp:posOffset>
              </wp:positionV>
              <wp:extent cx="114300" cy="175260"/>
              <wp:effectExtent l="0" t="0" r="0" b="0"/>
              <wp:wrapSquare wrapText="bothSides"/>
              <wp:docPr id="1" name="Textbox1"/>
              <wp:cNvGraphicFramePr/>
              <a:graphic xmlns:a="http://schemas.openxmlformats.org/drawingml/2006/main">
                <a:graphicData uri="http://schemas.microsoft.com/office/word/2010/wordprocessingShape">
                  <wps:wsp>
                    <wps:cNvSpPr txBox="1">
                      <a:extLst>
                        <a:ext uri="smNativeData">
                          <sm:smNativeData xmlns:sm="smNativeData" val="SMDATA_12_ZJuIXR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CCLgAAxkEAAAACAAAJAAAABAAAAAAAAAAMAAAAEAAAAAAAAAAAAAAAAAAAAAAAAAAeAAAAaAAAAAAAAAAAAAAAAAAAAAAAAAAAAAAAECcAABAnAAAAAAAAAAAAAAAAAAAAAAAAAAAAAAAAAAAAAAAAAAAAABQAAAAAAAAAwMD/AAAAAABkAAAAMgAAAAAAAABkAAAAAAAAAH9/fwAKAAAAIQAAAEAAAAA8AAAAAAAAABDiAABAAAAAAAAAAAMAAAABAAAAAAAAAAAAAAACAAAAAQAAALQAAAAUAQAAAAAAADAqAADFAgAAKAAAAAgAAAACAAAAAgAAAA=="/>
                        </a:ext>
                      </a:extLst>
                    </wps:cNvSpPr>
                    <wps:spPr>
                      <a:xfrm>
                        <a:off x="0" y="0"/>
                        <a:ext cx="114300" cy="175260"/>
                      </a:xfrm>
                      <a:prstGeom prst="rect">
                        <a:avLst/>
                      </a:prstGeom>
                      <a:noFill/>
                      <a:ln w="12700">
                        <a:noFill/>
                      </a:ln>
                    </wps:spPr>
                    <wps:txbx>
                      <w:txbxContent>
                        <w:p>
                          <w:pPr>
                            <w:pStyle w:val="para2"/>
                            <w:rPr>
                              <w:rStyle w:val="char2"/>
                            </w:rPr>
                          </w:pPr>
                          <w:r>
                            <w:rPr>
                              <w:rStyle w:val="char2"/>
                            </w:rPr>
                          </w:r>
                          <w:r>
                            <w:rPr>
                              <w:rStyle w:val="char2"/>
                            </w:rPr>
                            <w:fldChar w:fldCharType="begin"/>
                            <w:instrText xml:space="preserve"> PAGE </w:instrText>
                            <w:fldChar w:fldCharType="separate"/>
                            <w:t>2</w:t>
                            <w:fldChar w:fldCharType="end"/>
                          </w:r>
                        </w:p>
                      </w:txbxContent>
                    </wps:txbx>
                    <wps:bodyPr spcFirstLastPara="1" vertOverflow="clip" horzOverflow="clip" wrap="none" lIns="0" tIns="0" rIns="0" bIns="0" upright="1">
                      <a:prstTxWarp prst="textNoShape">
                        <a:avLst/>
                      </a:prstTxWarp>
                      <a:spAutoFit/>
                    </wps:bodyPr>
                  </wps:wsp>
                </a:graphicData>
              </a:graphic>
            </wp:anchor>
          </w:drawing>
        </mc:Choice>
        <mc:Fallback>
          <w:pict>
            <v:shapetype id="_x0000_t202" coordsize="21600,21600" o:spt="202" path="m,l,21600r21600,l21600,xe">
              <v:path gradientshapeok="t" o:connecttype="rect"/>
            </v:shapetype>
            <v:shape id="Textbox1" o:spid="_x0000_s2049" type="#_x0000_t202" style="position:absolute;mso-position-horizontal:right;margin-top:0.05pt;mso-position-horizontal-relative:margin;width:9.00pt;height:13.80pt;z-index:251658241;mso-wrap-distance-left:0.00pt;mso-wrap-distance-top:0.00pt;mso-wrap-distance-right:0.00pt;mso-wrap-distance-bottom:0.00pt;mso-wrap-style:none" stroked="f" filled="f" v:ext="SMDATA_12_ZJuIXR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CCLgAAxkEAAAACAAAJAAAABAAAAAAAAAAMAAAAEAAAAAAAAAAAAAAAAAAAAAAAAAAeAAAAaAAAAAAAAAAAAAAAAAAAAAAAAAAAAAAAECcAABAnAAAAAAAAAAAAAAAAAAAAAAAAAAAAAAAAAAAAAAAAAAAAABQAAAAAAAAAwMD/AAAAAABkAAAAMgAAAAAAAABkAAAAAAAAAH9/fwAKAAAAIQAAAEAAAAA8AAAAAAAAABDiAABAAAAAAAAAAAMAAAABAAAAAAAAAAAAAAACAAAAAQAAALQAAAAUAQAAAAAAADAqAADFAgAAKAAAAAgAAAACAAAAAgAAAA==" o:insetmode="custom">
              <w10:wrap type="square" anchorx="margin" anchory="text"/>
              <v:textbox style="mso-fit-shape-to-text:t" inset="0.0pt,0.0pt,0.0pt,0.0pt">
                <w:txbxContent>
                  <w:p>
                    <w:pPr>
                      <w:pStyle w:val="para2"/>
                      <w:rPr>
                        <w:rStyle w:val="char2"/>
                      </w:rPr>
                    </w:pPr>
                    <w:r>
                      <w:rPr>
                        <w:rStyle w:val="char2"/>
                      </w:rPr>
                    </w:r>
                    <w:r>
                      <w:rPr>
                        <w:rStyle w:val="char2"/>
                      </w:rPr>
                      <w:fldChar w:fldCharType="begin"/>
                      <w:instrText xml:space="preserve"> PAGE </w:instrText>
                      <w:fldChar w:fldCharType="separate"/>
                      <w:t>2</w:t>
                      <w:fldChar w:fldCharType="end"/>
                    </w:r>
                  </w:p>
                </w:txbxContent>
              </v:textbox>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5121"/>
    <o:shapelayout v:ext="edit">
      <o:rules v:ext="edit"/>
    </o:shapelayout>
  </w:shapeDefaults>
  <w:tmPrefOne w:val="17"/>
  <w:tmPrefTwo w:val="1"/>
  <w:tmFmtPref w:val="189283691"/>
  <w:tmCommentsPr>
    <w:tmCommentsPlace w:val="0"/>
    <w:tmCommentsWidth w:val="3240"/>
    <w:tmCommentsColor w:val="-1"/>
  </w:tmCommentsPr>
  <w:tmReviewPr>
    <w:tmReviewEnabled w:val="0"/>
    <w:tmReviewShow w:val="1"/>
    <w:tmReviewPrint w:val="0"/>
    <w:tmRevisionNum w:val="28"/>
    <w:tmReviewMarkIns w:val="4"/>
    <w:tmReviewColorIns w:val="-1"/>
    <w:tmReviewMarkDel w:val="6"/>
    <w:tmReviewColorDel w:val="-1"/>
    <w:tmReviewMarkFmt w:val="1"/>
    <w:tmReviewColorFmt w:val="-1"/>
    <w:tmReviewMarkLn w:val="1"/>
    <w:tmReviewColorLn w:val="0"/>
    <w:tmReviewToolTip w:val="1"/>
  </w:tmReviewPr>
  <w:tmLastPos>
    <w:tmLastPosPage w:val="0"/>
    <w:tmLastPosSelect w:val="1"/>
    <w:tmLastPosFrameIdx w:val="0"/>
    <w:tmLastPosCaret>
      <w:tmLastPosPgfIdx w:val="1"/>
      <w:tmLastPosIdx w:val="0"/>
    </w:tmLastPosCaret>
    <w:tmLastPosAnchor>
      <w:tmLastPosPgfIdx w:val="0"/>
      <w:tmLastPosIdx w:val="104"/>
    </w:tmLastPosAnchor>
    <w:tmLastPosTblRect w:left="0" w:top="0" w:right="0" w:bottom="0"/>
  </w:tmLastPos>
  <w:tmAppRevision w:date="1569233764" w:val="967"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MS Mincho"/>
      <w:sz w:val="24"/>
      <w:szCs w:val="24"/>
      <w:lang w:val="ru-ru" w:eastAsia="ru-ru" w:bidi="ar-sa"/>
    </w:rPr>
  </w:style>
  <w:style w:type="paragraph" w:styleId="para1">
    <w:name w:val="heading 1"/>
    <w:qFormat/>
    <w:basedOn w:val="para0"/>
    <w:next w:val="para0"/>
    <w:pPr>
      <w:ind w:right="-81" w:firstLine="1080"/>
      <w:spacing/>
      <w:jc w:val="center"/>
      <w:keepNext/>
      <w:outlineLvl w:val="0"/>
    </w:pPr>
    <w:rPr>
      <w:rFonts w:ascii="Times Latin" w:hAnsi="Times Latin" w:cs="Times Latin"/>
      <w:b/>
      <w:sz w:val="32"/>
      <w:lang w:val="en-us"/>
    </w:rPr>
  </w:style>
  <w:style w:type="paragraph" w:styleId="para2">
    <w:name w:val="Header"/>
    <w:qFormat/>
    <w:basedOn w:val="para0"/>
    <w:pPr>
      <w:tabs defTabSz="708">
        <w:tab w:val="center" w:pos="4677" w:leader="none"/>
        <w:tab w:val="right" w:pos="9355" w:leader="none"/>
      </w:tabs>
    </w:pPr>
    <w:rPr>
      <w:lang w:val="en-us"/>
    </w:rPr>
  </w:style>
  <w:style w:type="paragraph" w:styleId="para3">
    <w:name w:val="Comment Text"/>
    <w:qFormat/>
    <w:basedOn w:val="para0"/>
    <w:rPr>
      <w:sz w:val="20"/>
      <w:szCs w:val="20"/>
    </w:rPr>
  </w:style>
  <w:style w:type="paragraph" w:styleId="para4">
    <w:name w:val="Comment Subject"/>
    <w:qFormat/>
    <w:basedOn w:val="para3"/>
    <w:next w:val="para3"/>
    <w:rPr>
      <w:b/>
      <w:bCs/>
    </w:rPr>
  </w:style>
  <w:style w:type="paragraph" w:styleId="para5">
    <w:name w:val="Balloon Text"/>
    <w:qFormat/>
    <w:basedOn w:val="para0"/>
    <w:rPr>
      <w:rFonts w:ascii="Tahoma" w:hAnsi="Tahoma" w:cs="Tahoma"/>
      <w:sz w:val="16"/>
      <w:szCs w:val="16"/>
    </w:rPr>
  </w:style>
  <w:style w:type="character" w:styleId="char0" w:default="1">
    <w:name w:val="Default Paragraph Font"/>
    <w:basedOn w:val="char0"/>
  </w:style>
  <w:style w:type="character" w:styleId="char1" w:customStyle="1">
    <w:name w:val="Заголовок 1 Знак"/>
    <w:rPr>
      <w:rFonts w:ascii="Times Latin" w:hAnsi="Times Latin" w:eastAsia="MS Mincho" w:cs="Times New Roman"/>
      <w:b/>
      <w:sz w:val="32"/>
      <w:szCs w:val="24"/>
      <w:lang w:eastAsia="ru-ru"/>
    </w:rPr>
  </w:style>
  <w:style w:type="character" w:styleId="char2">
    <w:name w:val="Page Number"/>
  </w:style>
  <w:style w:type="character" w:styleId="char3" w:customStyle="1">
    <w:name w:val="Верхний колонтитул Знак"/>
    <w:rPr>
      <w:rFonts w:ascii="Times New Roman" w:hAnsi="Times New Roman" w:eastAsia="MS Mincho" w:cs="Times New Roman"/>
      <w:sz w:val="24"/>
      <w:szCs w:val="24"/>
      <w:lang w:eastAsia="ru-ru"/>
    </w:rPr>
  </w:style>
  <w:style w:type="character" w:styleId="char4">
    <w:name w:val="Comment Reference"/>
    <w:rPr>
      <w:sz w:val="16"/>
      <w:szCs w:val="16"/>
    </w:rPr>
  </w:style>
  <w:style w:type="character" w:styleId="char5" w:customStyle="1">
    <w:name w:val="Текст примечания Знак"/>
    <w:rPr>
      <w:rFonts w:ascii="Times New Roman" w:hAnsi="Times New Roman" w:eastAsia="MS Mincho"/>
      <w:lang w:val="ru-ru" w:eastAsia="ru-ru"/>
    </w:rPr>
  </w:style>
  <w:style w:type="character" w:styleId="char6" w:customStyle="1">
    <w:name w:val="Тема примечания Знак"/>
    <w:rPr>
      <w:rFonts w:ascii="Times New Roman" w:hAnsi="Times New Roman" w:eastAsia="MS Mincho"/>
      <w:b/>
      <w:bCs/>
      <w:lang w:val="ru-ru" w:eastAsia="ru-ru"/>
    </w:rPr>
  </w:style>
  <w:style w:type="character" w:styleId="char7" w:customStyle="1">
    <w:name w:val="Текст выноски Знак"/>
    <w:rPr>
      <w:rFonts w:ascii="Tahoma" w:hAnsi="Tahoma" w:eastAsia="MS Mincho" w:cs="Tahoma"/>
      <w:sz w:val="16"/>
      <w:szCs w:val="16"/>
      <w:lang w:val="ru-ru" w:eastAsia="ru-ru"/>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MS Mincho"/>
      <w:sz w:val="24"/>
      <w:szCs w:val="24"/>
      <w:lang w:val="ru-ru" w:eastAsia="ru-ru" w:bidi="ar-sa"/>
    </w:rPr>
  </w:style>
  <w:style w:type="paragraph" w:styleId="para1">
    <w:name w:val="heading 1"/>
    <w:qFormat/>
    <w:basedOn w:val="para0"/>
    <w:next w:val="para0"/>
    <w:pPr>
      <w:ind w:right="-81" w:firstLine="1080"/>
      <w:spacing/>
      <w:jc w:val="center"/>
      <w:keepNext/>
      <w:outlineLvl w:val="0"/>
    </w:pPr>
    <w:rPr>
      <w:rFonts w:ascii="Times Latin" w:hAnsi="Times Latin" w:cs="Times Latin"/>
      <w:b/>
      <w:sz w:val="32"/>
      <w:lang w:val="en-us"/>
    </w:rPr>
  </w:style>
  <w:style w:type="paragraph" w:styleId="para2">
    <w:name w:val="Header"/>
    <w:qFormat/>
    <w:basedOn w:val="para0"/>
    <w:pPr>
      <w:tabs defTabSz="708">
        <w:tab w:val="center" w:pos="4677" w:leader="none"/>
        <w:tab w:val="right" w:pos="9355" w:leader="none"/>
      </w:tabs>
    </w:pPr>
    <w:rPr>
      <w:lang w:val="en-us"/>
    </w:rPr>
  </w:style>
  <w:style w:type="paragraph" w:styleId="para3">
    <w:name w:val="Comment Text"/>
    <w:qFormat/>
    <w:basedOn w:val="para0"/>
    <w:rPr>
      <w:sz w:val="20"/>
      <w:szCs w:val="20"/>
    </w:rPr>
  </w:style>
  <w:style w:type="paragraph" w:styleId="para4">
    <w:name w:val="Comment Subject"/>
    <w:qFormat/>
    <w:basedOn w:val="para3"/>
    <w:next w:val="para3"/>
    <w:rPr>
      <w:b/>
      <w:bCs/>
    </w:rPr>
  </w:style>
  <w:style w:type="paragraph" w:styleId="para5">
    <w:name w:val="Balloon Text"/>
    <w:qFormat/>
    <w:basedOn w:val="para0"/>
    <w:rPr>
      <w:rFonts w:ascii="Tahoma" w:hAnsi="Tahoma" w:cs="Tahoma"/>
      <w:sz w:val="16"/>
      <w:szCs w:val="16"/>
    </w:rPr>
  </w:style>
  <w:style w:type="character" w:styleId="char0" w:default="1">
    <w:name w:val="Default Paragraph Font"/>
    <w:basedOn w:val="char0"/>
  </w:style>
  <w:style w:type="character" w:styleId="char1" w:customStyle="1">
    <w:name w:val="Заголовок 1 Знак"/>
    <w:rPr>
      <w:rFonts w:ascii="Times Latin" w:hAnsi="Times Latin" w:eastAsia="MS Mincho" w:cs="Times New Roman"/>
      <w:b/>
      <w:sz w:val="32"/>
      <w:szCs w:val="24"/>
      <w:lang w:eastAsia="ru-ru"/>
    </w:rPr>
  </w:style>
  <w:style w:type="character" w:styleId="char2">
    <w:name w:val="Page Number"/>
  </w:style>
  <w:style w:type="character" w:styleId="char3" w:customStyle="1">
    <w:name w:val="Верхний колонтитул Знак"/>
    <w:rPr>
      <w:rFonts w:ascii="Times New Roman" w:hAnsi="Times New Roman" w:eastAsia="MS Mincho" w:cs="Times New Roman"/>
      <w:sz w:val="24"/>
      <w:szCs w:val="24"/>
      <w:lang w:eastAsia="ru-ru"/>
    </w:rPr>
  </w:style>
  <w:style w:type="character" w:styleId="char4">
    <w:name w:val="Comment Reference"/>
    <w:rPr>
      <w:sz w:val="16"/>
      <w:szCs w:val="16"/>
    </w:rPr>
  </w:style>
  <w:style w:type="character" w:styleId="char5" w:customStyle="1">
    <w:name w:val="Текст примечания Знак"/>
    <w:rPr>
      <w:rFonts w:ascii="Times New Roman" w:hAnsi="Times New Roman" w:eastAsia="MS Mincho"/>
      <w:lang w:val="ru-ru" w:eastAsia="ru-ru"/>
    </w:rPr>
  </w:style>
  <w:style w:type="character" w:styleId="char6" w:customStyle="1">
    <w:name w:val="Тема примечания Знак"/>
    <w:rPr>
      <w:rFonts w:ascii="Times New Roman" w:hAnsi="Times New Roman" w:eastAsia="MS Mincho"/>
      <w:b/>
      <w:bCs/>
      <w:lang w:val="ru-ru" w:eastAsia="ru-ru"/>
    </w:rPr>
  </w:style>
  <w:style w:type="character" w:styleId="char7" w:customStyle="1">
    <w:name w:val="Текст выноски Знак"/>
    <w:rPr>
      <w:rFonts w:ascii="Tahoma" w:hAnsi="Tahoma" w:eastAsia="MS Mincho" w:cs="Tahoma"/>
      <w:sz w:val="16"/>
      <w:szCs w:val="16"/>
      <w:lang w:val="ru-ru" w:eastAsia="ru-ru"/>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 Id="rId1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Latin"/>
        <a:ea typeface="MS Mincho"/>
        <a:cs typeface="Times Latin"/>
      </a:majorFont>
      <a:minorFont>
        <a:latin typeface="Times New Roman"/>
        <a:ea typeface="MS Mincho"/>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9525">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rev.967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revision>28</cp:revision>
  <dcterms:created xsi:type="dcterms:W3CDTF">2018-12-12T06:47:00Z</dcterms:created>
  <dcterms:modified xsi:type="dcterms:W3CDTF">2019-09-23T10:16:04Z</dcterms:modified>
</cp:coreProperties>
</file>